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3" w:rsidRPr="00631BE4" w:rsidRDefault="00A548A5" w:rsidP="00631BE4">
      <w:pPr>
        <w:pStyle w:val="Citationintense"/>
        <w:rPr>
          <w:sz w:val="32"/>
        </w:rPr>
      </w:pPr>
      <w:bookmarkStart w:id="0" w:name="_GoBack"/>
      <w:bookmarkEnd w:id="0"/>
      <w:r>
        <w:rPr>
          <w:sz w:val="32"/>
        </w:rPr>
        <w:t xml:space="preserve"> </w:t>
      </w:r>
      <w:r w:rsidR="005658F3" w:rsidRPr="00B14EB0">
        <w:rPr>
          <w:sz w:val="32"/>
        </w:rPr>
        <w:t>La gouvernance européenne depuis 1992</w:t>
      </w:r>
    </w:p>
    <w:p w:rsidR="005658F3" w:rsidRPr="0025731A" w:rsidRDefault="005658F3">
      <w:pPr>
        <w:rPr>
          <w:b/>
          <w:color w:val="FF0000"/>
          <w:sz w:val="28"/>
        </w:rPr>
      </w:pPr>
      <w:r w:rsidRPr="0025731A">
        <w:rPr>
          <w:b/>
          <w:color w:val="FF0000"/>
          <w:sz w:val="28"/>
        </w:rPr>
        <w:t xml:space="preserve">Introduction : </w:t>
      </w:r>
    </w:p>
    <w:p w:rsidR="003F56BE" w:rsidRDefault="00CD06BB">
      <w:r>
        <w:t>L’année 1992 marque la transformation de la Communauté Economique Européenne</w:t>
      </w:r>
      <w:r w:rsidR="003F56BE">
        <w:t xml:space="preserve"> (CEE) en</w:t>
      </w:r>
      <w:r>
        <w:t xml:space="preserve"> une Union Européenne</w:t>
      </w:r>
      <w:r w:rsidR="003F56BE">
        <w:t xml:space="preserve"> (UE). </w:t>
      </w:r>
    </w:p>
    <w:p w:rsidR="003F56BE" w:rsidRDefault="003F56BE">
      <w:r>
        <w:t xml:space="preserve">25 ans plus tard,voici des opinions extrêmement répandues, prononcées aussi bien par des citoyens que des représentants politique : </w:t>
      </w:r>
      <w:r w:rsidR="00B14EB0">
        <w:t xml:space="preserve">« C’est la faute à Bruxelles… « l’Europe », c’est compliqué…c’est technocratique…c’est loin de ma vie quotidienne… ».. </w:t>
      </w:r>
    </w:p>
    <w:p w:rsidR="00B14EB0" w:rsidRDefault="00B14EB0">
      <w:r>
        <w:t>Pourtant, la majorité des Français</w:t>
      </w:r>
      <w:r w:rsidR="008F1782">
        <w:t xml:space="preserve"> n’est pas anti-européen et comprend parfaitement</w:t>
      </w:r>
      <w:r w:rsidR="003F56BE">
        <w:t xml:space="preserve"> l’utilité</w:t>
      </w:r>
      <w:r>
        <w:t xml:space="preserve"> de l’UE à l’heure de la mondialisation</w:t>
      </w:r>
      <w:r w:rsidR="008F1782">
        <w:t>.</w:t>
      </w:r>
      <w:r w:rsidR="008F1782" w:rsidRPr="003F56BE">
        <w:rPr>
          <w:b/>
        </w:rPr>
        <w:t>C</w:t>
      </w:r>
      <w:r w:rsidRPr="003F56BE">
        <w:rPr>
          <w:b/>
        </w:rPr>
        <w:t>omment comprendre ce paradoxe ?</w:t>
      </w:r>
    </w:p>
    <w:p w:rsidR="00B14EB0" w:rsidRDefault="00B14EB0">
      <w:r>
        <w:t>Nous commencerons par étudier la dynamique communautaire d</w:t>
      </w:r>
      <w:r w:rsidR="008F1782">
        <w:t>epuis 1992 en la recontextualisant dans sa perspecti</w:t>
      </w:r>
      <w:r w:rsidR="003A30BE">
        <w:t>ve historique</w:t>
      </w:r>
      <w:r w:rsidR="008F1782">
        <w:t>. Nous analyserons ensuite les faiblesses de cette construction politique unique, qui nourrissent le courant eurosceptique.</w:t>
      </w:r>
    </w:p>
    <w:p w:rsidR="008F1782" w:rsidRDefault="008F1782"/>
    <w:p w:rsidR="008F1782" w:rsidRDefault="00142C2B" w:rsidP="00142C2B">
      <w:pPr>
        <w:pStyle w:val="Paragraphedeliste"/>
        <w:numPr>
          <w:ilvl w:val="0"/>
          <w:numId w:val="2"/>
        </w:numPr>
        <w:rPr>
          <w:b/>
          <w:color w:val="FF0000"/>
          <w:sz w:val="28"/>
        </w:rPr>
      </w:pPr>
      <w:r w:rsidRPr="00D543F4">
        <w:rPr>
          <w:b/>
          <w:color w:val="FF0000"/>
          <w:sz w:val="28"/>
        </w:rPr>
        <w:t>L ’Union Européenne : naissance et croissance</w:t>
      </w:r>
    </w:p>
    <w:p w:rsidR="00D543F4" w:rsidRPr="00D543F4" w:rsidRDefault="00D543F4" w:rsidP="00D543F4">
      <w:pPr>
        <w:pStyle w:val="Paragraphedeliste"/>
        <w:rPr>
          <w:b/>
          <w:color w:val="FF0000"/>
          <w:sz w:val="28"/>
        </w:rPr>
      </w:pPr>
    </w:p>
    <w:p w:rsidR="008F1782" w:rsidRPr="00D543F4" w:rsidRDefault="008F1782" w:rsidP="008F1782">
      <w:pPr>
        <w:pStyle w:val="Paragraphedeliste"/>
        <w:numPr>
          <w:ilvl w:val="0"/>
          <w:numId w:val="1"/>
        </w:numPr>
        <w:rPr>
          <w:b/>
          <w:color w:val="00B050"/>
          <w:sz w:val="28"/>
        </w:rPr>
      </w:pPr>
      <w:r w:rsidRPr="00D543F4">
        <w:rPr>
          <w:b/>
          <w:color w:val="00B050"/>
          <w:sz w:val="28"/>
        </w:rPr>
        <w:t>Le traité de Maastricht en 1992 :</w:t>
      </w:r>
      <w:r w:rsidR="00142C2B" w:rsidRPr="00D543F4">
        <w:rPr>
          <w:b/>
          <w:color w:val="00B050"/>
          <w:sz w:val="28"/>
        </w:rPr>
        <w:t xml:space="preserve">un </w:t>
      </w:r>
      <w:r w:rsidR="008E0E2F">
        <w:rPr>
          <w:b/>
          <w:color w:val="00B050"/>
          <w:sz w:val="28"/>
        </w:rPr>
        <w:t xml:space="preserve">réel </w:t>
      </w:r>
      <w:r w:rsidR="00142C2B" w:rsidRPr="00D543F4">
        <w:rPr>
          <w:b/>
          <w:color w:val="00B050"/>
          <w:sz w:val="28"/>
        </w:rPr>
        <w:t>processus d’approfondissement</w:t>
      </w:r>
    </w:p>
    <w:p w:rsidR="0094476C" w:rsidRDefault="0094476C" w:rsidP="0094476C"/>
    <w:p w:rsidR="0094476C" w:rsidRDefault="0094476C" w:rsidP="0094476C">
      <w:pPr>
        <w:pStyle w:val="Paragraphedeliste"/>
        <w:numPr>
          <w:ilvl w:val="0"/>
          <w:numId w:val="3"/>
        </w:numPr>
      </w:pPr>
      <w:r>
        <w:t xml:space="preserve">L’année 1992 marque une date essentielle dans la construction communautaire enclenchée depuis les années 1950 (1951 : CECA ; 1957 traité de Rome) ; Maastricht correspond à </w:t>
      </w:r>
      <w:r w:rsidRPr="00074395">
        <w:rPr>
          <w:b/>
        </w:rPr>
        <w:t>la volonté de dépasser la logiqueessentiellement économique et intergouvernementale</w:t>
      </w:r>
      <w:r>
        <w:t xml:space="preserve"> (promotion du libre-échangisme, de la coopération entre les Etats) pour </w:t>
      </w:r>
      <w:r w:rsidRPr="00074395">
        <w:rPr>
          <w:b/>
        </w:rPr>
        <w:t>construire une dynamique d’approfondissement politique</w:t>
      </w:r>
      <w:r>
        <w:t xml:space="preserve">, </w:t>
      </w:r>
      <w:r w:rsidRPr="00074395">
        <w:rPr>
          <w:b/>
        </w:rPr>
        <w:t>qui ouvre unhorizon fédéraliste</w:t>
      </w:r>
      <w:r w:rsidR="00074395">
        <w:rPr>
          <w:b/>
        </w:rPr>
        <w:t xml:space="preserve"> (donc supranational)</w:t>
      </w:r>
      <w:r>
        <w:t>.</w:t>
      </w:r>
    </w:p>
    <w:p w:rsidR="00A209C2" w:rsidRDefault="00A209C2" w:rsidP="00A209C2">
      <w:pPr>
        <w:pStyle w:val="Paragraphedeliste"/>
      </w:pPr>
    </w:p>
    <w:p w:rsidR="00074395" w:rsidRDefault="0094476C" w:rsidP="0094476C">
      <w:pPr>
        <w:pStyle w:val="Paragraphedeliste"/>
        <w:numPr>
          <w:ilvl w:val="0"/>
          <w:numId w:val="3"/>
        </w:numPr>
      </w:pPr>
      <w:r>
        <w:t>En effet, le traité de Maastricht institue :</w:t>
      </w:r>
    </w:p>
    <w:p w:rsidR="00074395" w:rsidRDefault="00074395" w:rsidP="00074395">
      <w:pPr>
        <w:pStyle w:val="Paragraphedeliste"/>
        <w:numPr>
          <w:ilvl w:val="0"/>
          <w:numId w:val="4"/>
        </w:numPr>
      </w:pPr>
      <w:r w:rsidRPr="00A209C2">
        <w:rPr>
          <w:u w:val="single"/>
        </w:rPr>
        <w:t>U</w:t>
      </w:r>
      <w:r w:rsidR="0094476C" w:rsidRPr="00A209C2">
        <w:rPr>
          <w:u w:val="single"/>
        </w:rPr>
        <w:t>ne citoyenneté européenne</w:t>
      </w:r>
      <w:r w:rsidR="0094476C">
        <w:t>,</w:t>
      </w:r>
      <w:r w:rsidR="00A209C2">
        <w:t xml:space="preserve"> qui se concrétisera par la création de </w:t>
      </w:r>
      <w:r w:rsidR="00A209C2" w:rsidRPr="00A209C2">
        <w:rPr>
          <w:b/>
          <w:sz w:val="24"/>
        </w:rPr>
        <w:t>l’espace Schengen</w:t>
      </w:r>
      <w:r w:rsidR="00A209C2">
        <w:t xml:space="preserve">en </w:t>
      </w:r>
      <w:r w:rsidR="00A209C2" w:rsidRPr="00A209C2">
        <w:rPr>
          <w:b/>
        </w:rPr>
        <w:t>1997</w:t>
      </w:r>
      <w:r w:rsidR="00A209C2">
        <w:t xml:space="preserve"> (</w:t>
      </w:r>
      <w:r w:rsidR="00A209C2" w:rsidRPr="00A209C2">
        <w:rPr>
          <w:b/>
        </w:rPr>
        <w:t>traité d’Amsterdam</w:t>
      </w:r>
      <w:r w:rsidR="00A209C2">
        <w:t>)</w:t>
      </w:r>
    </w:p>
    <w:p w:rsidR="00074395" w:rsidRDefault="00074395" w:rsidP="00074395">
      <w:pPr>
        <w:pStyle w:val="Paragraphedeliste"/>
        <w:numPr>
          <w:ilvl w:val="0"/>
          <w:numId w:val="4"/>
        </w:numPr>
      </w:pPr>
      <w:r w:rsidRPr="00A209C2">
        <w:rPr>
          <w:u w:val="single"/>
        </w:rPr>
        <w:t>U</w:t>
      </w:r>
      <w:r w:rsidR="0094476C" w:rsidRPr="00A209C2">
        <w:rPr>
          <w:u w:val="single"/>
        </w:rPr>
        <w:t>ne politique étrangère et de sécurité commune</w:t>
      </w:r>
      <w:r w:rsidR="0094476C" w:rsidRPr="00074395">
        <w:rPr>
          <w:b/>
        </w:rPr>
        <w:t>(PESC</w:t>
      </w:r>
      <w:r w:rsidR="0094476C">
        <w:t>)</w:t>
      </w:r>
      <w:r w:rsidR="00EA3138">
        <w:t>,</w:t>
      </w:r>
      <w:r w:rsidR="00A209C2">
        <w:t xml:space="preserve"> qui prévoit une politique étran</w:t>
      </w:r>
      <w:r w:rsidR="001E1E6E">
        <w:t>gèr</w:t>
      </w:r>
      <w:r w:rsidR="00DC02C7">
        <w:t>e européenne et</w:t>
      </w:r>
      <w:r w:rsidR="00A209C2">
        <w:t>ouvre la possib</w:t>
      </w:r>
      <w:r w:rsidR="001E1E6E">
        <w:t>i</w:t>
      </w:r>
      <w:r w:rsidR="00A209C2">
        <w:t>lité d’une armée européenne commune (dès 1992 création d’un Eurocorps « symbolique »</w:t>
      </w:r>
      <w:r w:rsidR="001E1E6E">
        <w:t xml:space="preserve"> déclaré opérationnel en 1995</w:t>
      </w:r>
      <w:r w:rsidR="00A209C2">
        <w:t>)</w:t>
      </w:r>
    </w:p>
    <w:p w:rsidR="0094476C" w:rsidRDefault="00074395" w:rsidP="00074395">
      <w:pPr>
        <w:pStyle w:val="Paragraphedeliste"/>
        <w:numPr>
          <w:ilvl w:val="0"/>
          <w:numId w:val="4"/>
        </w:numPr>
      </w:pPr>
      <w:r w:rsidRPr="00A209C2">
        <w:rPr>
          <w:u w:val="single"/>
        </w:rPr>
        <w:t xml:space="preserve">Une union économique monétaire </w:t>
      </w:r>
      <w:r w:rsidRPr="00A209C2">
        <w:rPr>
          <w:b/>
          <w:u w:val="single"/>
        </w:rPr>
        <w:t>(UEM),</w:t>
      </w:r>
      <w:r w:rsidR="00A209C2">
        <w:t xml:space="preserve"> qui se matérialisera</w:t>
      </w:r>
      <w:r>
        <w:t xml:space="preserve"> 10 ans plus tard par la mise en circulation de</w:t>
      </w:r>
      <w:r w:rsidRPr="00A209C2">
        <w:rPr>
          <w:b/>
        </w:rPr>
        <w:t xml:space="preserve"> l’euro </w:t>
      </w:r>
      <w:r>
        <w:t>et la création d’une Banque centrale européenne (</w:t>
      </w:r>
      <w:r w:rsidRPr="00A209C2">
        <w:rPr>
          <w:b/>
        </w:rPr>
        <w:t>BCE</w:t>
      </w:r>
      <w:r>
        <w:t>) indépendante des Etats</w:t>
      </w:r>
    </w:p>
    <w:p w:rsidR="00074395" w:rsidRDefault="00074395" w:rsidP="00074395">
      <w:pPr>
        <w:pStyle w:val="Paragraphedeliste"/>
        <w:ind w:left="1487"/>
      </w:pPr>
    </w:p>
    <w:p w:rsidR="00074395" w:rsidRDefault="001E1E6E" w:rsidP="00074395">
      <w:pPr>
        <w:pStyle w:val="Paragraphedeliste"/>
        <w:ind w:left="1487"/>
      </w:pPr>
      <w:r>
        <w:t>En résumé, le traité de Maastricht pose le cadre d’une fédération ; à charge pour les représentants politiques de le remplir…</w:t>
      </w:r>
      <w:r w:rsidR="00DC02C7">
        <w:t xml:space="preserve">de fait, </w:t>
      </w:r>
      <w:r w:rsidR="00DC02C7" w:rsidRPr="00DC02C7">
        <w:rPr>
          <w:b/>
        </w:rPr>
        <w:t>les traités d’Amsterdam</w:t>
      </w:r>
      <w:r w:rsidR="00DC02C7">
        <w:t xml:space="preserve"> (1997), de </w:t>
      </w:r>
      <w:r w:rsidR="00DC02C7" w:rsidRPr="00DC02C7">
        <w:rPr>
          <w:b/>
        </w:rPr>
        <w:t>Nice (2001)</w:t>
      </w:r>
      <w:r w:rsidR="00DC02C7">
        <w:t xml:space="preserve"> et de </w:t>
      </w:r>
      <w:r w:rsidR="00DC02C7" w:rsidRPr="00DC02C7">
        <w:rPr>
          <w:b/>
        </w:rPr>
        <w:t>Lisbonne(2007)</w:t>
      </w:r>
      <w:r w:rsidR="00DC02C7">
        <w:t xml:space="preserve"> précisent et complètent la dynamique d’appro</w:t>
      </w:r>
      <w:r w:rsidR="0025731A">
        <w:t>fondissement et se traduisent par des abandons partiels de souveraineté (par exemple le contrôle des frontières ou de la monnaie)</w:t>
      </w:r>
    </w:p>
    <w:p w:rsidR="00074395" w:rsidRDefault="00074395" w:rsidP="00074395">
      <w:pPr>
        <w:pStyle w:val="Paragraphedeliste"/>
        <w:ind w:left="1487"/>
      </w:pPr>
    </w:p>
    <w:p w:rsidR="001E1E6E" w:rsidRDefault="008F1782" w:rsidP="001E1E6E">
      <w:pPr>
        <w:pStyle w:val="Paragraphedeliste"/>
        <w:numPr>
          <w:ilvl w:val="0"/>
          <w:numId w:val="1"/>
        </w:numPr>
        <w:rPr>
          <w:b/>
          <w:color w:val="00B050"/>
          <w:sz w:val="28"/>
        </w:rPr>
      </w:pPr>
      <w:r w:rsidRPr="00D543F4">
        <w:rPr>
          <w:b/>
          <w:color w:val="00B050"/>
          <w:sz w:val="28"/>
        </w:rPr>
        <w:t>Pourquoi Maastricht ?</w:t>
      </w:r>
    </w:p>
    <w:p w:rsidR="00D543F4" w:rsidRPr="00D543F4" w:rsidRDefault="00D543F4" w:rsidP="00D543F4">
      <w:pPr>
        <w:pStyle w:val="Paragraphedeliste"/>
        <w:rPr>
          <w:b/>
          <w:color w:val="00B050"/>
          <w:sz w:val="28"/>
        </w:rPr>
      </w:pPr>
    </w:p>
    <w:p w:rsidR="001E1E6E" w:rsidRDefault="001E1E6E" w:rsidP="008E2563">
      <w:pPr>
        <w:pStyle w:val="Paragraphedeliste"/>
        <w:numPr>
          <w:ilvl w:val="0"/>
          <w:numId w:val="3"/>
        </w:numPr>
      </w:pPr>
      <w:r>
        <w:t xml:space="preserve">Le traité de Maastricht est signé dans </w:t>
      </w:r>
      <w:r w:rsidRPr="00D543F4">
        <w:rPr>
          <w:u w:val="single"/>
        </w:rPr>
        <w:t>un contexte d</w:t>
      </w:r>
      <w:r w:rsidR="008E2563" w:rsidRPr="00D543F4">
        <w:rPr>
          <w:u w:val="single"/>
        </w:rPr>
        <w:t>e radicale redéfinition géopolitique</w:t>
      </w:r>
      <w:r>
        <w:t> : l’URSS</w:t>
      </w:r>
      <w:r w:rsidR="008E2563">
        <w:t xml:space="preserve"> et la menace soviétique disparaissent, « le rideau de fer » disparait également</w:t>
      </w:r>
      <w:r>
        <w:t> ;</w:t>
      </w:r>
      <w:r w:rsidR="00D543F4">
        <w:t>l</w:t>
      </w:r>
      <w:r w:rsidR="008E2563">
        <w:t>’Allemagne est réunifiée et les Etats appartenant à l’ancien bloc soviétique connaissent une période de flottement</w:t>
      </w:r>
      <w:r w:rsidR="00D543F4">
        <w:t xml:space="preserve">, qui peut aller jusqu’à la </w:t>
      </w:r>
      <w:r w:rsidR="00D543F4">
        <w:lastRenderedPageBreak/>
        <w:t>guerre</w:t>
      </w:r>
      <w:r w:rsidR="008E2563">
        <w:t xml:space="preserve"> (comme en </w:t>
      </w:r>
      <w:proofErr w:type="spellStart"/>
      <w:r w:rsidR="008E2563">
        <w:t>ex-yougoslavie</w:t>
      </w:r>
      <w:proofErr w:type="spellEnd"/>
      <w:r w:rsidR="008E2563">
        <w:t>)</w:t>
      </w:r>
      <w:r w:rsidR="00D543F4">
        <w:t>. Face à ce morcellement, l’Europe o</w:t>
      </w:r>
      <w:r w:rsidR="00CF5EA0">
        <w:t>ccidentale souhaite renforcer sa stabilité économique et politique</w:t>
      </w:r>
      <w:r w:rsidR="00D543F4">
        <w:t>-</w:t>
      </w:r>
      <w:r w:rsidR="002A2244">
        <w:t xml:space="preserve"> et prépare </w:t>
      </w:r>
      <w:r w:rsidR="002A2244" w:rsidRPr="002A2244">
        <w:rPr>
          <w:b/>
        </w:rPr>
        <w:t>son élargissement</w:t>
      </w:r>
      <w:r w:rsidR="00D543F4">
        <w:t xml:space="preserve"> (en 2004, 10 nouveaux Etats seront intégrés)</w:t>
      </w:r>
    </w:p>
    <w:p w:rsidR="00D543F4" w:rsidRDefault="00D543F4" w:rsidP="008E2563">
      <w:pPr>
        <w:pStyle w:val="Paragraphedeliste"/>
        <w:numPr>
          <w:ilvl w:val="0"/>
          <w:numId w:val="3"/>
        </w:numPr>
      </w:pPr>
      <w:r>
        <w:t xml:space="preserve">La fin de la guerre froide marque la victoire idéologique des EU et de ses valeurs (démocratie et libéralisme) ; elle marque une </w:t>
      </w:r>
      <w:r w:rsidRPr="002A2244">
        <w:rPr>
          <w:b/>
        </w:rPr>
        <w:t>accélération de la mondialisation</w:t>
      </w:r>
      <w:r>
        <w:t xml:space="preserve">, qui encourage les logiques de </w:t>
      </w:r>
      <w:r w:rsidRPr="002A2244">
        <w:rPr>
          <w:b/>
        </w:rPr>
        <w:t>regroupement régionaux</w:t>
      </w:r>
      <w:r>
        <w:t xml:space="preserve"> (en réponse à l’UE, les EU mettent en place l’ALENA)</w:t>
      </w:r>
    </w:p>
    <w:p w:rsidR="00D543F4" w:rsidRDefault="00D543F4" w:rsidP="008E2563">
      <w:pPr>
        <w:pStyle w:val="Paragraphedeliste"/>
        <w:numPr>
          <w:ilvl w:val="0"/>
          <w:numId w:val="3"/>
        </w:numPr>
      </w:pPr>
      <w:r>
        <w:t xml:space="preserve">Dans </w:t>
      </w:r>
      <w:r w:rsidR="003E0EFA">
        <w:t xml:space="preserve">ce nouveau </w:t>
      </w:r>
      <w:r>
        <w:t>monde multipolair</w:t>
      </w:r>
      <w:r w:rsidR="003E0EFA">
        <w:t>e définitivement libéral</w:t>
      </w:r>
      <w:r w:rsidR="002A2244">
        <w:t>,</w:t>
      </w:r>
      <w:r w:rsidR="003E0EFA">
        <w:t xml:space="preserve"> les dirigeants des petits ou moyens Etats européens comprennent </w:t>
      </w:r>
      <w:r w:rsidR="002C0524">
        <w:t>qu’ils ne sont pas à même de gagner</w:t>
      </w:r>
      <w:r w:rsidR="00A548A5">
        <w:t xml:space="preserve"> </w:t>
      </w:r>
      <w:r w:rsidR="002A2244" w:rsidRPr="002A2244">
        <w:rPr>
          <w:b/>
          <w:u w:val="single"/>
        </w:rPr>
        <w:t>isolément</w:t>
      </w:r>
      <w:r w:rsidR="002C0524">
        <w:t xml:space="preserve"> des rapports de force contre des puissances comme les EU (aujourd’hui) ou la Chine (demain)</w:t>
      </w:r>
      <w:r w:rsidR="00A37AC0">
        <w:t>.</w:t>
      </w:r>
    </w:p>
    <w:p w:rsidR="001E1E6E" w:rsidRDefault="001E1E6E" w:rsidP="001E1E6E"/>
    <w:p w:rsidR="008F1782" w:rsidRDefault="008F1782" w:rsidP="008F1782">
      <w:pPr>
        <w:pStyle w:val="Paragraphedeliste"/>
        <w:numPr>
          <w:ilvl w:val="0"/>
          <w:numId w:val="1"/>
        </w:numPr>
        <w:rPr>
          <w:b/>
          <w:color w:val="00B050"/>
          <w:sz w:val="28"/>
        </w:rPr>
      </w:pPr>
      <w:r w:rsidRPr="00A37AC0">
        <w:rPr>
          <w:b/>
          <w:color w:val="00B050"/>
          <w:sz w:val="28"/>
        </w:rPr>
        <w:t xml:space="preserve">Un fonctionnement </w:t>
      </w:r>
      <w:r w:rsidR="00142C2B" w:rsidRPr="00A37AC0">
        <w:rPr>
          <w:b/>
          <w:color w:val="00B050"/>
          <w:sz w:val="28"/>
        </w:rPr>
        <w:t>nécessairement complexe</w:t>
      </w:r>
    </w:p>
    <w:p w:rsidR="00A37AC0" w:rsidRDefault="00A37AC0" w:rsidP="00A37AC0"/>
    <w:p w:rsidR="00881A10" w:rsidRDefault="00881A10" w:rsidP="00DD654B">
      <w:pPr>
        <w:pStyle w:val="Paragraphedeliste"/>
        <w:numPr>
          <w:ilvl w:val="0"/>
          <w:numId w:val="3"/>
        </w:numPr>
      </w:pPr>
      <w:r w:rsidRPr="00F94655">
        <w:rPr>
          <w:b/>
        </w:rPr>
        <w:t>La première raison</w:t>
      </w:r>
      <w:r>
        <w:t xml:space="preserve"> est lié</w:t>
      </w:r>
      <w:r w:rsidR="003A30BE">
        <w:t>e</w:t>
      </w:r>
      <w:r>
        <w:t xml:space="preserve"> au nombre d’Etats membres : douze en 1992, 15 en 1995, 25 en 2005, 27 en 2017 depuis le Brexit).</w:t>
      </w:r>
    </w:p>
    <w:p w:rsidR="00DD654B" w:rsidRDefault="00F94655" w:rsidP="00DD654B">
      <w:pPr>
        <w:pStyle w:val="Paragraphedeliste"/>
        <w:numPr>
          <w:ilvl w:val="0"/>
          <w:numId w:val="3"/>
        </w:numPr>
      </w:pPr>
      <w:r w:rsidRPr="00F94655">
        <w:rPr>
          <w:b/>
        </w:rPr>
        <w:t>La seconde raison est idéologique</w:t>
      </w:r>
      <w:r>
        <w:t> : e</w:t>
      </w:r>
      <w:r w:rsidR="00DD654B">
        <w:t>n France, le traité de Maastricht a été adopté à une courte majorité par référendum (59-41%) ; ces</w:t>
      </w:r>
      <w:r>
        <w:t xml:space="preserve"> résultats  expriment </w:t>
      </w:r>
      <w:r w:rsidR="00DD654B" w:rsidRPr="005B24F2">
        <w:rPr>
          <w:b/>
        </w:rPr>
        <w:t>la division entre fédéralistes</w:t>
      </w:r>
      <w:r w:rsidR="00DD654B">
        <w:t xml:space="preserve"> (partisans d’une Europe supranationale), </w:t>
      </w:r>
      <w:r w:rsidR="00DD654B" w:rsidRPr="005B24F2">
        <w:rPr>
          <w:b/>
        </w:rPr>
        <w:t>souverainistes</w:t>
      </w:r>
      <w:r w:rsidR="00DD654B">
        <w:t xml:space="preserve"> (partisans d’une Europe composée d’Etats conservant leur souveraineté</w:t>
      </w:r>
      <w:r w:rsidR="005B24F2">
        <w:t>)</w:t>
      </w:r>
      <w:r w:rsidR="00DD654B">
        <w:t xml:space="preserve"> et </w:t>
      </w:r>
      <w:r w:rsidR="00DD654B" w:rsidRPr="00881A10">
        <w:rPr>
          <w:b/>
        </w:rPr>
        <w:t>fonctionnalistes</w:t>
      </w:r>
      <w:r w:rsidR="00BC3064">
        <w:t xml:space="preserve"> (certains problèm</w:t>
      </w:r>
      <w:r w:rsidR="00881A10">
        <w:t>es dépassent le ca</w:t>
      </w:r>
      <w:r w:rsidR="00BC3064">
        <w:t>dre des Etats et appellent un renforcement des coopérations intergouvern</w:t>
      </w:r>
      <w:r w:rsidR="00881A10">
        <w:t>e</w:t>
      </w:r>
      <w:r w:rsidR="00BC3064">
        <w:t>mentales)</w:t>
      </w:r>
    </w:p>
    <w:p w:rsidR="00881A10" w:rsidRDefault="00881A10" w:rsidP="00DD654B">
      <w:pPr>
        <w:pStyle w:val="Paragraphedeliste"/>
        <w:numPr>
          <w:ilvl w:val="0"/>
          <w:numId w:val="3"/>
        </w:numPr>
      </w:pPr>
      <w:r>
        <w:t xml:space="preserve">En fait, depuis le début de la construction européenne, deux grandes conceptions s’affrontent : les partisans de </w:t>
      </w:r>
      <w:r w:rsidRPr="00881A10">
        <w:rPr>
          <w:b/>
        </w:rPr>
        <w:t>« l’Europe-marché »</w:t>
      </w:r>
      <w:r>
        <w:t xml:space="preserve"> (incarnés par le RU) et ceux de </w:t>
      </w:r>
      <w:r w:rsidRPr="00881A10">
        <w:rPr>
          <w:b/>
        </w:rPr>
        <w:t>« l’Europe-puissance »</w:t>
      </w:r>
      <w:r>
        <w:t xml:space="preserve"> (la France et l’Allemagne) avec en toile de fond une grande question</w:t>
      </w:r>
      <w:r w:rsidR="00F9338C">
        <w:t xml:space="preserve"> jamais tranchée</w:t>
      </w:r>
      <w:r>
        <w:t xml:space="preserve"> : </w:t>
      </w:r>
      <w:r w:rsidR="00F9338C">
        <w:t>la construction communautaire correspond-elle à l’abandon de l’Etat-nation ?</w:t>
      </w:r>
    </w:p>
    <w:p w:rsidR="00DD654B" w:rsidRDefault="00DD654B" w:rsidP="00A37AC0"/>
    <w:p w:rsidR="00A37AC0" w:rsidRDefault="0066564A" w:rsidP="00A37AC0">
      <w:r w:rsidRPr="00F94655">
        <w:rPr>
          <w:u w:val="single"/>
        </w:rPr>
        <w:t xml:space="preserve">Les </w:t>
      </w:r>
      <w:r w:rsidRPr="00F94655">
        <w:rPr>
          <w:b/>
          <w:u w:val="single"/>
        </w:rPr>
        <w:t>principales institutions</w:t>
      </w:r>
      <w:r w:rsidRPr="00F94655">
        <w:rPr>
          <w:u w:val="single"/>
        </w:rPr>
        <w:t xml:space="preserve"> européennes traduisent</w:t>
      </w:r>
      <w:r w:rsidR="002A2244" w:rsidRPr="00F94655">
        <w:rPr>
          <w:u w:val="single"/>
        </w:rPr>
        <w:t xml:space="preserve"> ce compromis d’</w:t>
      </w:r>
      <w:r w:rsidRPr="00F94655">
        <w:rPr>
          <w:u w:val="single"/>
        </w:rPr>
        <w:t>une Union européenne</w:t>
      </w:r>
      <w:r w:rsidR="002A2244" w:rsidRPr="00F94655">
        <w:rPr>
          <w:u w:val="single"/>
        </w:rPr>
        <w:t xml:space="preserve"> qui dépend des Etats tout en prétendant les dépasser</w:t>
      </w:r>
      <w:r w:rsidR="002A2244">
        <w:t>.</w:t>
      </w:r>
    </w:p>
    <w:p w:rsidR="00A37AC0" w:rsidRDefault="002A2244" w:rsidP="002A2244">
      <w:pPr>
        <w:pStyle w:val="Paragraphedeliste"/>
        <w:numPr>
          <w:ilvl w:val="0"/>
          <w:numId w:val="3"/>
        </w:numPr>
      </w:pPr>
      <w:r w:rsidRPr="0066564A">
        <w:rPr>
          <w:b/>
        </w:rPr>
        <w:t>Le Conseil européen</w:t>
      </w:r>
      <w:r>
        <w:t>, composé des chefs de gouvernement des différents Etats, définit les grandes orientations</w:t>
      </w:r>
      <w:r w:rsidR="0066564A">
        <w:t xml:space="preserve">. </w:t>
      </w:r>
      <w:r w:rsidR="0066564A" w:rsidRPr="0066564A">
        <w:rPr>
          <w:b/>
        </w:rPr>
        <w:t>L’unanimité est nécessaire pour certains sujets</w:t>
      </w:r>
      <w:r w:rsidR="0066564A">
        <w:t xml:space="preserve"> comme la politique étrangère, la fiscalité…</w:t>
      </w:r>
      <w:r w:rsidR="00DC02C7" w:rsidRPr="008E0E2F">
        <w:rPr>
          <w:b/>
        </w:rPr>
        <w:t>la majorité qualifiée s’applique aux autres décisions</w:t>
      </w:r>
      <w:r w:rsidR="00DC02C7">
        <w:t xml:space="preserve"> (au moins 55% des Etats membres représentant 65% de la population)</w:t>
      </w:r>
    </w:p>
    <w:p w:rsidR="0066564A" w:rsidRDefault="0066564A" w:rsidP="0066564A">
      <w:pPr>
        <w:pStyle w:val="Paragraphedeliste"/>
      </w:pPr>
    </w:p>
    <w:p w:rsidR="002A2244" w:rsidRDefault="002A2244" w:rsidP="002A2244">
      <w:pPr>
        <w:pStyle w:val="Paragraphedeliste"/>
        <w:numPr>
          <w:ilvl w:val="0"/>
          <w:numId w:val="3"/>
        </w:numPr>
      </w:pPr>
      <w:r w:rsidRPr="0066564A">
        <w:rPr>
          <w:b/>
        </w:rPr>
        <w:t>Le Parlement européen</w:t>
      </w:r>
      <w:r>
        <w:t xml:space="preserve"> comprend 715 députés élus au suffrage universel direct pour 5 </w:t>
      </w:r>
      <w:proofErr w:type="spellStart"/>
      <w:r>
        <w:t>ans</w:t>
      </w:r>
      <w:r w:rsidR="00F94655">
        <w:t>,</w:t>
      </w:r>
      <w:r>
        <w:t>co</w:t>
      </w:r>
      <w:proofErr w:type="spellEnd"/>
      <w:r>
        <w:t>-décide</w:t>
      </w:r>
      <w:r w:rsidR="0066564A">
        <w:t xml:space="preserve"> (avec le C</w:t>
      </w:r>
      <w:r>
        <w:t>onseil) les lois et le budget de l’UE et co</w:t>
      </w:r>
      <w:r w:rsidR="0066564A">
        <w:t>ntrôle la Commission européenne</w:t>
      </w:r>
    </w:p>
    <w:p w:rsidR="0066564A" w:rsidRDefault="0066564A" w:rsidP="0066564A">
      <w:pPr>
        <w:pStyle w:val="Paragraphedeliste"/>
      </w:pPr>
    </w:p>
    <w:p w:rsidR="0066564A" w:rsidRDefault="0066564A" w:rsidP="0066564A">
      <w:pPr>
        <w:pStyle w:val="Paragraphedeliste"/>
      </w:pPr>
    </w:p>
    <w:p w:rsidR="002A2244" w:rsidRDefault="002A2244" w:rsidP="002A2244">
      <w:pPr>
        <w:pStyle w:val="Paragraphedeliste"/>
        <w:numPr>
          <w:ilvl w:val="0"/>
          <w:numId w:val="3"/>
        </w:numPr>
      </w:pPr>
      <w:r w:rsidRPr="0066564A">
        <w:rPr>
          <w:b/>
        </w:rPr>
        <w:t>La Commission européenne</w:t>
      </w:r>
      <w:r w:rsidR="003D48D1">
        <w:t xml:space="preserve"> est la gardienne des traités : 28 commissaires </w:t>
      </w:r>
      <w:r>
        <w:t>propose</w:t>
      </w:r>
      <w:r w:rsidR="003D48D1">
        <w:t>nt</w:t>
      </w:r>
      <w:r>
        <w:t xml:space="preserve"> et exécute</w:t>
      </w:r>
      <w:r w:rsidR="003D48D1">
        <w:t>nt</w:t>
      </w:r>
      <w:r>
        <w:t xml:space="preserve"> les politiques</w:t>
      </w:r>
      <w:r w:rsidR="003D48D1">
        <w:t xml:space="preserve"> de l’UE </w:t>
      </w:r>
      <w:r w:rsidR="003D48D1" w:rsidRPr="00F94655">
        <w:rPr>
          <w:u w:val="single"/>
        </w:rPr>
        <w:t>sans dépendre des Etats membres</w:t>
      </w:r>
      <w:r w:rsidR="003D48D1">
        <w:t>.</w:t>
      </w:r>
    </w:p>
    <w:p w:rsidR="0066564A" w:rsidRDefault="0066564A" w:rsidP="0066564A">
      <w:pPr>
        <w:pStyle w:val="Paragraphedeliste"/>
      </w:pPr>
    </w:p>
    <w:p w:rsidR="003D48D1" w:rsidRDefault="003D48D1" w:rsidP="002A2244">
      <w:pPr>
        <w:pStyle w:val="Paragraphedeliste"/>
        <w:numPr>
          <w:ilvl w:val="0"/>
          <w:numId w:val="3"/>
        </w:numPr>
      </w:pPr>
      <w:r w:rsidRPr="0066564A">
        <w:rPr>
          <w:b/>
        </w:rPr>
        <w:t>La B</w:t>
      </w:r>
      <w:r w:rsidR="0066564A" w:rsidRPr="0066564A">
        <w:rPr>
          <w:b/>
        </w:rPr>
        <w:t xml:space="preserve">anque </w:t>
      </w:r>
      <w:r w:rsidRPr="0066564A">
        <w:rPr>
          <w:b/>
        </w:rPr>
        <w:t>C</w:t>
      </w:r>
      <w:r w:rsidR="0066564A" w:rsidRPr="0066564A">
        <w:rPr>
          <w:b/>
        </w:rPr>
        <w:t xml:space="preserve">entrale </w:t>
      </w:r>
      <w:r w:rsidRPr="0066564A">
        <w:rPr>
          <w:b/>
        </w:rPr>
        <w:t>E</w:t>
      </w:r>
      <w:r w:rsidR="0066564A" w:rsidRPr="0066564A">
        <w:rPr>
          <w:b/>
        </w:rPr>
        <w:t>uropéenne</w:t>
      </w:r>
      <w:r>
        <w:t xml:space="preserve">, </w:t>
      </w:r>
      <w:r w:rsidRPr="00F94655">
        <w:rPr>
          <w:u w:val="single"/>
        </w:rPr>
        <w:t>indépendante des Etats</w:t>
      </w:r>
      <w:r>
        <w:t xml:space="preserve"> veille à la stabilité des prix dans l’UE</w:t>
      </w:r>
      <w:r w:rsidR="00997CEE">
        <w:t xml:space="preserve"> et définit donc la politique monétaire</w:t>
      </w:r>
      <w:r>
        <w:t>.</w:t>
      </w:r>
    </w:p>
    <w:p w:rsidR="008E0E2F" w:rsidRDefault="008E0E2F" w:rsidP="008E0E2F"/>
    <w:p w:rsidR="00DD654B" w:rsidRPr="00023360" w:rsidRDefault="00FC07EE" w:rsidP="00FC07EE">
      <w:pPr>
        <w:pStyle w:val="Paragraphedeliste"/>
        <w:numPr>
          <w:ilvl w:val="0"/>
          <w:numId w:val="2"/>
        </w:numPr>
        <w:rPr>
          <w:b/>
          <w:color w:val="FF0000"/>
          <w:sz w:val="28"/>
        </w:rPr>
      </w:pPr>
      <w:r w:rsidRPr="00023360">
        <w:rPr>
          <w:b/>
          <w:color w:val="FF0000"/>
          <w:sz w:val="28"/>
        </w:rPr>
        <w:t>L’Union européenne au XXI° siècle :  entre euroscepticisme et poursuite de l’approfondissement</w:t>
      </w:r>
    </w:p>
    <w:p w:rsidR="00FC07EE" w:rsidRPr="00023360" w:rsidRDefault="00FC07EE" w:rsidP="00FC07EE">
      <w:pPr>
        <w:pStyle w:val="Paragraphedeliste"/>
        <w:numPr>
          <w:ilvl w:val="0"/>
          <w:numId w:val="5"/>
        </w:numPr>
        <w:rPr>
          <w:b/>
          <w:color w:val="00B050"/>
          <w:sz w:val="28"/>
        </w:rPr>
      </w:pPr>
      <w:r w:rsidRPr="00023360">
        <w:rPr>
          <w:b/>
          <w:color w:val="00B050"/>
          <w:sz w:val="28"/>
        </w:rPr>
        <w:t>La montée de l’euroscepticisme</w:t>
      </w:r>
    </w:p>
    <w:p w:rsidR="00191A0D" w:rsidRDefault="00191A0D" w:rsidP="00191A0D"/>
    <w:p w:rsidR="00023360" w:rsidRDefault="00C57362" w:rsidP="00C57362">
      <w:pPr>
        <w:pStyle w:val="Paragraphedeliste"/>
        <w:numPr>
          <w:ilvl w:val="0"/>
          <w:numId w:val="3"/>
        </w:numPr>
      </w:pPr>
      <w:r w:rsidRPr="0091343F">
        <w:rPr>
          <w:b/>
        </w:rPr>
        <w:lastRenderedPageBreak/>
        <w:t>25 ans après Maastricht</w:t>
      </w:r>
      <w:r>
        <w:t xml:space="preserve">, </w:t>
      </w:r>
      <w:r w:rsidR="0091343F">
        <w:rPr>
          <w:b/>
        </w:rPr>
        <w:t>l</w:t>
      </w:r>
      <w:r w:rsidRPr="0091343F">
        <w:rPr>
          <w:b/>
        </w:rPr>
        <w:t>e renforcement de la gouvernance européenne n’a pas progressé</w:t>
      </w:r>
      <w:r w:rsidRPr="003A30BE">
        <w:rPr>
          <w:b/>
        </w:rPr>
        <w:t>parmi lespeuples</w:t>
      </w:r>
      <w:r>
        <w:t> : depuis la première élection du parlement européen au SU (en 1979), les élections européennes ont toujours été marquées par une forte abstention ;</w:t>
      </w:r>
      <w:r w:rsidR="00DE5A2C">
        <w:t xml:space="preserve"> en 2014 ce taux est supérieur à 50% dans 20 des 28 Etats de l’UE.</w:t>
      </w:r>
    </w:p>
    <w:p w:rsidR="00191A0D" w:rsidRDefault="00C57362" w:rsidP="00C57362">
      <w:pPr>
        <w:pStyle w:val="Paragraphedeliste"/>
        <w:numPr>
          <w:ilvl w:val="0"/>
          <w:numId w:val="3"/>
        </w:numPr>
      </w:pPr>
      <w:r>
        <w:t xml:space="preserve">il n’existe d’ailleurs </w:t>
      </w:r>
      <w:r w:rsidRPr="0037403E">
        <w:rPr>
          <w:b/>
        </w:rPr>
        <w:t>pas de parti transnational ou même de personnalité incarnant l’UE</w:t>
      </w:r>
      <w:r>
        <w:t xml:space="preserve"> auprès des opinions publiques (la majorité des Français peut citer le nom du président américain, sait-elle qu’il existe un président du Conseil européen depuis le traité de Lisbonne ?).</w:t>
      </w:r>
    </w:p>
    <w:p w:rsidR="00CB7E75" w:rsidRDefault="00CB7E75" w:rsidP="00CB7E75">
      <w:pPr>
        <w:pStyle w:val="Paragraphedeliste"/>
      </w:pPr>
    </w:p>
    <w:p w:rsidR="00CB7E75" w:rsidRDefault="00DE5A2C" w:rsidP="00CB7E75">
      <w:pPr>
        <w:pStyle w:val="Paragraphedeliste"/>
        <w:numPr>
          <w:ilvl w:val="0"/>
          <w:numId w:val="3"/>
        </w:numPr>
      </w:pPr>
      <w:r>
        <w:rPr>
          <w:b/>
        </w:rPr>
        <w:t>Depuis 2000,</w:t>
      </w:r>
      <w:r w:rsidR="00CB7E75" w:rsidRPr="0037403E">
        <w:rPr>
          <w:b/>
        </w:rPr>
        <w:t>Les ma</w:t>
      </w:r>
      <w:r>
        <w:rPr>
          <w:b/>
        </w:rPr>
        <w:t>nifestations de rejet s’expriment</w:t>
      </w:r>
      <w:r w:rsidR="00CB7E75" w:rsidRPr="0037403E">
        <w:rPr>
          <w:b/>
        </w:rPr>
        <w:t xml:space="preserve"> régulièrement</w:t>
      </w:r>
      <w:r w:rsidR="00C4117A">
        <w:t> : en 2005</w:t>
      </w:r>
      <w:r w:rsidR="00CB7E75">
        <w:t>, le rejet français</w:t>
      </w:r>
      <w:r>
        <w:t xml:space="preserve"> et néerlandais</w:t>
      </w:r>
      <w:r w:rsidR="00CB7E75">
        <w:t xml:space="preserve"> par référendum du traité constitutionnel, l’élection de </w:t>
      </w:r>
      <w:proofErr w:type="spellStart"/>
      <w:r w:rsidR="00CB7E75">
        <w:t>Siriza</w:t>
      </w:r>
      <w:proofErr w:type="spellEnd"/>
      <w:r w:rsidR="00CB7E75">
        <w:t xml:space="preserve"> en Grèce, de Podemos en </w:t>
      </w:r>
      <w:r w:rsidR="0037403E">
        <w:t>Espagne,</w:t>
      </w:r>
      <w:r>
        <w:t xml:space="preserve"> le Brexit de 2016… </w:t>
      </w:r>
    </w:p>
    <w:p w:rsidR="0037403E" w:rsidRDefault="0037403E" w:rsidP="0037403E">
      <w:pPr>
        <w:pStyle w:val="Paragraphedeliste"/>
      </w:pPr>
    </w:p>
    <w:p w:rsidR="0037403E" w:rsidRPr="007A5DA4" w:rsidRDefault="0037403E" w:rsidP="007A5DA4">
      <w:pPr>
        <w:pStyle w:val="Paragraphedeliste"/>
        <w:numPr>
          <w:ilvl w:val="0"/>
          <w:numId w:val="3"/>
        </w:numPr>
        <w:rPr>
          <w:sz w:val="28"/>
        </w:rPr>
      </w:pPr>
      <w:r w:rsidRPr="007A5DA4">
        <w:rPr>
          <w:sz w:val="28"/>
        </w:rPr>
        <w:t>Comment expliquer cela ?</w:t>
      </w:r>
    </w:p>
    <w:p w:rsidR="007A5DA4" w:rsidRDefault="007A5DA4" w:rsidP="007A5DA4">
      <w:pPr>
        <w:pStyle w:val="Paragraphedeliste"/>
      </w:pPr>
    </w:p>
    <w:p w:rsidR="007A5DA4" w:rsidRDefault="007A5DA4" w:rsidP="003A30BE">
      <w:pPr>
        <w:pStyle w:val="Paragraphedeliste"/>
      </w:pPr>
    </w:p>
    <w:p w:rsidR="00023360" w:rsidRDefault="00C57362" w:rsidP="00023360">
      <w:pPr>
        <w:pStyle w:val="Paragraphedeliste"/>
        <w:numPr>
          <w:ilvl w:val="0"/>
          <w:numId w:val="3"/>
        </w:numPr>
        <w:rPr>
          <w:b/>
        </w:rPr>
      </w:pPr>
      <w:r>
        <w:t>La gouvernance européenne est perçue comme lointaine, abstraite, compliquée (« les technocrates de Bruxelles…). Cela peut s’expliquer par plusieurs raisons : l’échelle même de gouvernance induit la complexité et l’absence de proximité</w:t>
      </w:r>
      <w:r w:rsidR="00983585">
        <w:t> ; le vocabulaire spécifique (règlement, directive</w:t>
      </w:r>
      <w:r w:rsidR="00C56BA3">
        <w:t>, principe de subsidiarité</w:t>
      </w:r>
      <w:r w:rsidR="00983585">
        <w:t>…)</w:t>
      </w:r>
      <w:r w:rsidR="00023360">
        <w:t xml:space="preserve"> renforce encore ces phénomènes</w:t>
      </w:r>
      <w:r>
        <w:t xml:space="preserve">. </w:t>
      </w:r>
      <w:r w:rsidRPr="0037403E">
        <w:rPr>
          <w:b/>
        </w:rPr>
        <w:t>Prendre une dé</w:t>
      </w:r>
      <w:r w:rsidR="00EC4431" w:rsidRPr="0037403E">
        <w:rPr>
          <w:b/>
        </w:rPr>
        <w:t>cision, qui concerne 28 Etats, jongler entre les souverainistes et les fédéralistes est forcément complexe</w:t>
      </w:r>
      <w:r w:rsidR="00A538A7">
        <w:t>.</w:t>
      </w:r>
      <w:r w:rsidR="00983585">
        <w:t xml:space="preserve"> Les représentants politiques et l’UE n’ont pas considéré qu’il y avait un véritable enjeu politique à vul</w:t>
      </w:r>
      <w:r w:rsidR="00CB7E75">
        <w:t xml:space="preserve">gariser des notions complexes. </w:t>
      </w:r>
      <w:r w:rsidR="00CB7E75" w:rsidRPr="00CB7E75">
        <w:rPr>
          <w:b/>
        </w:rPr>
        <w:t>Pour l’instant, la bataille de la communication a été perdue.</w:t>
      </w:r>
    </w:p>
    <w:p w:rsidR="003A30BE" w:rsidRPr="001C2648" w:rsidRDefault="003A30BE" w:rsidP="00023360">
      <w:pPr>
        <w:pStyle w:val="Paragraphedeliste"/>
        <w:numPr>
          <w:ilvl w:val="0"/>
          <w:numId w:val="3"/>
        </w:numPr>
      </w:pPr>
      <w:r>
        <w:rPr>
          <w:b/>
        </w:rPr>
        <w:t>Il faut également ajouter qu’il existe » une Europe à plusieurs vitesses »:</w:t>
      </w:r>
      <w:r w:rsidRPr="001C2648">
        <w:t>tous les Etats de l’UE ne font partie de Schengen, tous n’ont pas adopt</w:t>
      </w:r>
      <w:r w:rsidR="00412C47">
        <w:t>é l’euro (toujours en raison des positions souverainistes et fédéralistes)</w:t>
      </w:r>
    </w:p>
    <w:p w:rsidR="00983585" w:rsidRDefault="00983585" w:rsidP="00983585">
      <w:pPr>
        <w:pStyle w:val="Paragraphedeliste"/>
      </w:pPr>
    </w:p>
    <w:p w:rsidR="00C56BA3" w:rsidRDefault="00983585" w:rsidP="00C56BA3">
      <w:pPr>
        <w:pStyle w:val="Paragraphedeliste"/>
        <w:numPr>
          <w:ilvl w:val="0"/>
          <w:numId w:val="3"/>
        </w:numPr>
      </w:pPr>
      <w:r>
        <w:t>En revanche, les promesses non tenues de Maastricht (les centaines de milliers d’emploi et le regain de croissance</w:t>
      </w:r>
      <w:r w:rsidR="00EC4431">
        <w:t xml:space="preserve"> annoncés</w:t>
      </w:r>
      <w:r w:rsidR="007D6B40">
        <w:t xml:space="preserve"> ne sont pas au rendez-vous</w:t>
      </w:r>
      <w:r w:rsidR="00EC4431">
        <w:t>)</w:t>
      </w:r>
      <w:r w:rsidR="00023360">
        <w:t>,</w:t>
      </w:r>
      <w:r w:rsidR="0037403E">
        <w:t xml:space="preserve"> « le plombier polonais »</w:t>
      </w:r>
      <w:r w:rsidR="00412C47">
        <w:t xml:space="preserve"> (la peur d’une concurrence des pays de l’Est au niveau de vie plus bas)</w:t>
      </w:r>
      <w:r w:rsidR="0037403E">
        <w:t xml:space="preserve"> ou</w:t>
      </w:r>
      <w:r w:rsidR="00023360">
        <w:t xml:space="preserve"> la notion de </w:t>
      </w:r>
      <w:r w:rsidR="007A5DA4">
        <w:t>« </w:t>
      </w:r>
      <w:r w:rsidR="00023360">
        <w:t>travailleur détaché</w:t>
      </w:r>
      <w:r w:rsidR="007A5DA4">
        <w:t> »</w:t>
      </w:r>
      <w:r w:rsidR="00412C47">
        <w:t xml:space="preserve"> (un travailleur travaille dans un pays mais les cotisations sociales sont celles du pays d’origine, généralement beaucoup plu faibles</w:t>
      </w:r>
      <w:r w:rsidR="003E13E4">
        <w:t>, donc il revient moins cher à celui qui l’emploie)</w:t>
      </w:r>
      <w:r w:rsidR="0037403E">
        <w:t>renforcent les positions anti-UE</w:t>
      </w:r>
      <w:r w:rsidR="00412C47">
        <w:t xml:space="preserve"> de ceux</w:t>
      </w:r>
      <w:r w:rsidR="003A30BE">
        <w:t xml:space="preserve">, </w:t>
      </w:r>
      <w:r w:rsidR="007A5DA4">
        <w:t>qui</w:t>
      </w:r>
      <w:r w:rsidR="00534BDB">
        <w:t xml:space="preserve"> la</w:t>
      </w:r>
      <w:r w:rsidR="007A5DA4">
        <w:t xml:space="preserve"> considèrent  trop libérale et pas assez sociale.</w:t>
      </w:r>
    </w:p>
    <w:p w:rsidR="0037403E" w:rsidRDefault="0037403E" w:rsidP="0037403E">
      <w:pPr>
        <w:pStyle w:val="Paragraphedeliste"/>
      </w:pPr>
    </w:p>
    <w:p w:rsidR="0037403E" w:rsidRDefault="00F33BB9" w:rsidP="00C56BA3">
      <w:pPr>
        <w:pStyle w:val="Paragraphedeliste"/>
        <w:numPr>
          <w:ilvl w:val="0"/>
          <w:numId w:val="3"/>
        </w:numPr>
      </w:pPr>
      <w:r w:rsidRPr="00F0750C">
        <w:rPr>
          <w:b/>
        </w:rPr>
        <w:t>L</w:t>
      </w:r>
      <w:r w:rsidR="000E2C56" w:rsidRPr="00F0750C">
        <w:rPr>
          <w:b/>
        </w:rPr>
        <w:t>e contexte économique et financier actuel contribue encore à broui</w:t>
      </w:r>
      <w:r w:rsidR="00F0750C">
        <w:rPr>
          <w:b/>
        </w:rPr>
        <w:t>ller les cartes et à donner de</w:t>
      </w:r>
      <w:r w:rsidR="000E2C56" w:rsidRPr="00F0750C">
        <w:rPr>
          <w:b/>
        </w:rPr>
        <w:t xml:space="preserve"> l’UE</w:t>
      </w:r>
      <w:r w:rsidR="00F0750C">
        <w:rPr>
          <w:b/>
        </w:rPr>
        <w:t xml:space="preserve"> une image « autoritaire »</w:t>
      </w:r>
      <w:r w:rsidR="000E2C56">
        <w:t xml:space="preserve"> : la crise américaine des </w:t>
      </w:r>
      <w:proofErr w:type="spellStart"/>
      <w:r w:rsidR="000E2C56">
        <w:t>subprimes</w:t>
      </w:r>
      <w:proofErr w:type="spellEnd"/>
      <w:r w:rsidR="000E2C56">
        <w:t xml:space="preserve"> de 2007-2008 a entraîné un endettement massif des Etats</w:t>
      </w:r>
      <w:r w:rsidR="00F0750C">
        <w:t xml:space="preserve"> européens</w:t>
      </w:r>
      <w:r w:rsidR="000E2C56">
        <w:t>, qui ont emprunté pour sauver les banques</w:t>
      </w:r>
      <w:r w:rsidR="00F0750C">
        <w:t xml:space="preserve">. La BCE </w:t>
      </w:r>
      <w:r w:rsidR="00CE30B3">
        <w:t>a ensuite été contrainte d’aider certains</w:t>
      </w:r>
      <w:r w:rsidR="00F0750C">
        <w:t xml:space="preserve"> de ces</w:t>
      </w:r>
      <w:r w:rsidR="00CE30B3">
        <w:t xml:space="preserve"> Etats en difficulté comme la Grè</w:t>
      </w:r>
      <w:r>
        <w:t xml:space="preserve">ce. </w:t>
      </w:r>
      <w:r w:rsidRPr="00E47666">
        <w:rPr>
          <w:b/>
        </w:rPr>
        <w:t>En contrepartie, la logique d’approfondissement s’estpoursuivie par la signature</w:t>
      </w:r>
      <w:r>
        <w:t xml:space="preserve"> du </w:t>
      </w:r>
      <w:r w:rsidRPr="00F0750C">
        <w:rPr>
          <w:b/>
        </w:rPr>
        <w:t>Pacte budgétaire en2012</w:t>
      </w:r>
      <w:r>
        <w:t> : les Etats signataires ont obligation de retrouver un équilibre budgétaire à moyen terme et doivent communiquer à la Commission leur projet de loi de finances</w:t>
      </w:r>
      <w:r w:rsidR="00EF04B9">
        <w:t> ; celle-ci peut demander au gouvernement de « revoir sa copie » dans les 15 jours.</w:t>
      </w:r>
      <w:r w:rsidR="00F0750C">
        <w:t xml:space="preserve"> Ce pacte budgétaire </w:t>
      </w:r>
      <w:r w:rsidR="001559F1">
        <w:t>a été demandé par l’Allemagne,</w:t>
      </w:r>
      <w:r w:rsidR="00E47666">
        <w:t xml:space="preserve"> qui refusait</w:t>
      </w:r>
      <w:r w:rsidR="001559F1">
        <w:t xml:space="preserve"> que la BCE renfloue des Etats, qui ne </w:t>
      </w:r>
      <w:r w:rsidR="007A5DA4">
        <w:t>feraient pas preuve de rigueur budgétaire et compterait ainsi sur les autres pour éponger leur dette. Le Parlement a approuvé, en exigeant la création d’un fonds de rédemption » (= la garantie que les Etats signataires seront aidés en cas de difficulté)</w:t>
      </w:r>
    </w:p>
    <w:p w:rsidR="00E47666" w:rsidRDefault="00E47666" w:rsidP="00E47666">
      <w:pPr>
        <w:pStyle w:val="Paragraphedeliste"/>
      </w:pPr>
    </w:p>
    <w:p w:rsidR="00CB7E75" w:rsidRDefault="00E47666" w:rsidP="00E47666">
      <w:pPr>
        <w:pStyle w:val="Paragraphedeliste"/>
        <w:numPr>
          <w:ilvl w:val="0"/>
          <w:numId w:val="3"/>
        </w:numPr>
      </w:pPr>
      <w:r>
        <w:t xml:space="preserve">Cette logique d’approfondissement associé à un faible </w:t>
      </w:r>
      <w:r w:rsidR="006F4007">
        <w:t>taux de croissance explique le B</w:t>
      </w:r>
      <w:r>
        <w:t>rexit</w:t>
      </w:r>
      <w:r w:rsidR="006513B7">
        <w:t xml:space="preserve"> de 2016</w:t>
      </w:r>
      <w:r>
        <w:t> : les partisans de « l’Europe- marché » ne s’y retrouvent plus.</w:t>
      </w:r>
    </w:p>
    <w:p w:rsidR="00E47666" w:rsidRDefault="00E47666" w:rsidP="00E47666">
      <w:pPr>
        <w:pStyle w:val="Paragraphedeliste"/>
      </w:pPr>
    </w:p>
    <w:p w:rsidR="00E47666" w:rsidRDefault="00E47666" w:rsidP="00E47666">
      <w:pPr>
        <w:pStyle w:val="Paragraphedeliste"/>
      </w:pPr>
    </w:p>
    <w:p w:rsidR="00CB7E75" w:rsidRDefault="00CB7E75" w:rsidP="00C57362">
      <w:pPr>
        <w:pStyle w:val="Paragraphedeliste"/>
        <w:numPr>
          <w:ilvl w:val="0"/>
          <w:numId w:val="3"/>
        </w:numPr>
      </w:pPr>
      <w:r>
        <w:t>En résumé, la politique libérale de l’UE est mise en accusation ; la fabrication d’un espace unique devait fabriquer des emplois, aujourd’hui certains n’hésitent pas à la rendre responsable d</w:t>
      </w:r>
      <w:r w:rsidR="00C56BA3">
        <w:t xml:space="preserve">u niveau élevé de </w:t>
      </w:r>
      <w:r w:rsidR="00C56BA3">
        <w:lastRenderedPageBreak/>
        <w:t xml:space="preserve">chômage </w:t>
      </w:r>
      <w:r>
        <w:t>(ajoutons que l’hétérogénéité des niveaux de vie et des cultures interdit</w:t>
      </w:r>
      <w:r w:rsidRPr="00C56BA3">
        <w:rPr>
          <w:u w:val="single"/>
        </w:rPr>
        <w:t xml:space="preserve"> techniquement</w:t>
      </w:r>
      <w:r>
        <w:t xml:space="preserve"> de promouvoir une Europe sociale)</w:t>
      </w:r>
      <w:r w:rsidR="00C56BA3">
        <w:t>.</w:t>
      </w:r>
    </w:p>
    <w:p w:rsidR="00E47666" w:rsidRDefault="00E47666" w:rsidP="00E47666"/>
    <w:p w:rsidR="00E47666" w:rsidRPr="003A30BE" w:rsidRDefault="00E47666" w:rsidP="00E47666">
      <w:pPr>
        <w:pStyle w:val="Paragraphedeliste"/>
        <w:numPr>
          <w:ilvl w:val="0"/>
          <w:numId w:val="5"/>
        </w:numPr>
        <w:rPr>
          <w:b/>
          <w:color w:val="00B050"/>
          <w:sz w:val="28"/>
        </w:rPr>
      </w:pPr>
      <w:r w:rsidRPr="003A30BE">
        <w:rPr>
          <w:b/>
          <w:color w:val="00B050"/>
          <w:sz w:val="28"/>
        </w:rPr>
        <w:t>L’UE sur la scène internationale :</w:t>
      </w:r>
      <w:r w:rsidR="003A30BE" w:rsidRPr="003A30BE">
        <w:rPr>
          <w:b/>
          <w:color w:val="00B050"/>
          <w:sz w:val="28"/>
        </w:rPr>
        <w:t xml:space="preserve"> faiblesse et division</w:t>
      </w:r>
      <w:r w:rsidR="006513B7">
        <w:rPr>
          <w:b/>
          <w:color w:val="00B050"/>
          <w:sz w:val="28"/>
        </w:rPr>
        <w:t>s</w:t>
      </w:r>
    </w:p>
    <w:p w:rsidR="003A30BE" w:rsidRDefault="00FA1BBE" w:rsidP="003A30BE">
      <w:r>
        <w:t xml:space="preserve">L’image extérieure donnée par l’UE n’est actuellement guère positive malgré Maastricht et la </w:t>
      </w:r>
    </w:p>
    <w:p w:rsidR="003A30BE" w:rsidRDefault="00FA1BBE" w:rsidP="00FA1BBE">
      <w:pPr>
        <w:pStyle w:val="Paragraphedeliste"/>
        <w:numPr>
          <w:ilvl w:val="0"/>
          <w:numId w:val="3"/>
        </w:numPr>
      </w:pPr>
      <w:r>
        <w:t>Dans les années 90 : les différentes guerres en ex-Yougoslavie ont révélé les divisions entre Etats européens et l’absence de véritable armée. En définitive, c’est l’intervention des EU et de l’OTAN qui s’</w:t>
      </w:r>
      <w:r w:rsidR="006C4D63">
        <w:t xml:space="preserve">est révélée </w:t>
      </w:r>
      <w:r>
        <w:t>décisive.</w:t>
      </w:r>
    </w:p>
    <w:p w:rsidR="00FA1BBE" w:rsidRDefault="00FA1BBE" w:rsidP="00FA1BBE">
      <w:pPr>
        <w:pStyle w:val="Paragraphedeliste"/>
        <w:numPr>
          <w:ilvl w:val="0"/>
          <w:numId w:val="3"/>
        </w:numPr>
      </w:pPr>
      <w:r>
        <w:t xml:space="preserve">Dans les années 2000, à chaque grande crise (en Irak, en Libye, en Syrie), l’UE a brillé par son absence… ce sont les puissances comme le Royaume Uni ou la France, qui ont pris des initiatives militaires et diplomatiques. </w:t>
      </w:r>
      <w:r w:rsidR="006C4D63">
        <w:t>D’une manière générale, les grands Etats refusent de déléguer leur politique étrangère, malgré l’existence d’un Haut représentant de l’UE pour les affaires étrangères et les questions de sécurité.</w:t>
      </w:r>
    </w:p>
    <w:p w:rsidR="006C4D63" w:rsidRDefault="006C4D63" w:rsidP="006C4D63">
      <w:pPr>
        <w:pStyle w:val="Paragraphedeliste"/>
      </w:pPr>
    </w:p>
    <w:p w:rsidR="00FA1BBE" w:rsidRDefault="00FA1BBE" w:rsidP="00FA1BBE">
      <w:pPr>
        <w:pStyle w:val="Paragraphedeliste"/>
        <w:numPr>
          <w:ilvl w:val="0"/>
          <w:numId w:val="3"/>
        </w:numPr>
      </w:pPr>
      <w:r>
        <w:t>Lors de la crise migratoire lié</w:t>
      </w:r>
      <w:r w:rsidR="006E0F59">
        <w:t>e aux interventions en Syrie et en Irak, aucune position commune n’a pu être dégagée. L’Allemagne a ouvert massivement ses frontières, tandis que la Hongrie de Viktor Orban les fermait. La solution consistant à accueillir des réfugiés selon un principe de quotas impulsé par le tandem franco-allemand a été refusé</w:t>
      </w:r>
      <w:r w:rsidR="006C4D63">
        <w:t>e</w:t>
      </w:r>
      <w:r w:rsidR="006E0F59">
        <w:t xml:space="preserve"> par les anciens pays d’Europe de l’Est. Finalement, une solution a été trouvée avec la</w:t>
      </w:r>
      <w:r w:rsidR="006C4D63">
        <w:t xml:space="preserve"> création de hotspots</w:t>
      </w:r>
      <w:r w:rsidR="006E0F59">
        <w:t xml:space="preserve"> Turquie en mars 2016</w:t>
      </w:r>
      <w:r w:rsidR="006C4D63">
        <w:t xml:space="preserve"> mais l’UE </w:t>
      </w:r>
    </w:p>
    <w:p w:rsidR="00301965" w:rsidRDefault="00301965" w:rsidP="00301965">
      <w:pPr>
        <w:pStyle w:val="Paragraphedeliste"/>
      </w:pPr>
    </w:p>
    <w:p w:rsidR="00301965" w:rsidRDefault="00301965" w:rsidP="00FA1BBE">
      <w:pPr>
        <w:pStyle w:val="Paragraphedeliste"/>
        <w:numPr>
          <w:ilvl w:val="0"/>
          <w:numId w:val="3"/>
        </w:numPr>
      </w:pPr>
      <w:r>
        <w:t>Cependant, l’UE n’est pas totalement absente de la scène internationale : en 1998, une PESD a été créée.</w:t>
      </w:r>
    </w:p>
    <w:p w:rsidR="001125EC" w:rsidRDefault="001125EC" w:rsidP="001125EC">
      <w:pPr>
        <w:pStyle w:val="Paragraphedeliste"/>
      </w:pPr>
    </w:p>
    <w:p w:rsidR="001125EC" w:rsidRPr="003F3F1C" w:rsidRDefault="001125EC" w:rsidP="001125EC">
      <w:pPr>
        <w:shd w:val="clear" w:color="auto" w:fill="FFFFFF"/>
        <w:spacing w:line="324" w:lineRule="atLeast"/>
        <w:rPr>
          <w:rFonts w:ascii="Arial" w:eastAsia="Times New Roman" w:hAnsi="Arial" w:cs="Arial"/>
          <w:color w:val="333333"/>
          <w:szCs w:val="18"/>
          <w:lang w:eastAsia="fr-RE"/>
        </w:rPr>
      </w:pPr>
      <w:r w:rsidRPr="003F3F1C">
        <w:rPr>
          <w:rFonts w:ascii="Arial" w:hAnsi="Arial" w:cs="Arial"/>
          <w:color w:val="333333"/>
          <w:szCs w:val="18"/>
          <w:shd w:val="clear" w:color="auto" w:fill="FFFFFF"/>
        </w:rPr>
        <w:t>« </w:t>
      </w:r>
      <w:r w:rsidRPr="003F3F1C">
        <w:rPr>
          <w:rFonts w:ascii="Arial" w:hAnsi="Arial" w:cs="Arial"/>
          <w:b/>
          <w:color w:val="333333"/>
          <w:szCs w:val="18"/>
          <w:shd w:val="clear" w:color="auto" w:fill="FFFFFF"/>
        </w:rPr>
        <w:t>La PESD se résume, en l'état actuel des choses, à la possibilité pour l'Union européenne de participerà des opérations de maintien de la paix</w:t>
      </w:r>
      <w:r w:rsidRPr="003F3F1C">
        <w:rPr>
          <w:rFonts w:ascii="Arial" w:hAnsi="Arial" w:cs="Arial"/>
          <w:color w:val="333333"/>
          <w:szCs w:val="18"/>
          <w:shd w:val="clear" w:color="auto" w:fill="FFFFFF"/>
        </w:rPr>
        <w:t>.</w:t>
      </w:r>
      <w:r w:rsidRPr="003F3F1C">
        <w:rPr>
          <w:rFonts w:ascii="Arial" w:eastAsia="Times New Roman" w:hAnsi="Arial" w:cs="Arial"/>
          <w:b/>
          <w:color w:val="333333"/>
          <w:szCs w:val="18"/>
          <w:lang w:eastAsia="fr-RE"/>
        </w:rPr>
        <w:t>Les États membres de l'Union</w:t>
      </w:r>
      <w:r w:rsidRPr="003F3F1C">
        <w:rPr>
          <w:rFonts w:ascii="Arial" w:eastAsia="Times New Roman" w:hAnsi="Arial" w:cs="Arial"/>
          <w:color w:val="333333"/>
          <w:szCs w:val="18"/>
          <w:lang w:eastAsia="fr-RE"/>
        </w:rPr>
        <w:t xml:space="preserve">, parce qu'ils </w:t>
      </w:r>
      <w:r w:rsidRPr="003F3F1C">
        <w:rPr>
          <w:rFonts w:ascii="Arial" w:eastAsia="Times New Roman" w:hAnsi="Arial" w:cs="Arial"/>
          <w:b/>
          <w:color w:val="333333"/>
          <w:szCs w:val="18"/>
          <w:lang w:eastAsia="fr-RE"/>
        </w:rPr>
        <w:t>demeurent souverains dans les domaines de la diplomatie et de la défense</w:t>
      </w:r>
      <w:r w:rsidRPr="003F3F1C">
        <w:rPr>
          <w:rFonts w:ascii="Arial" w:eastAsia="Times New Roman" w:hAnsi="Arial" w:cs="Arial"/>
          <w:color w:val="333333"/>
          <w:szCs w:val="18"/>
          <w:lang w:eastAsia="fr-RE"/>
        </w:rPr>
        <w:t xml:space="preserve">, restent les maîtres des décisions prises en la matière. Or, à chaque pays correspond une vision propre des desseins de l'Europe sur la scène internationale. Les rapporteurs ont pu en juger par eux-mêmes, lors des déplacements qu'ils ont effectués en Europe </w:t>
      </w:r>
      <w:r w:rsidRPr="003F3F1C">
        <w:rPr>
          <w:rFonts w:ascii="Arial" w:eastAsia="Times New Roman" w:hAnsi="Arial" w:cs="Arial"/>
          <w:b/>
          <w:color w:val="333333"/>
          <w:szCs w:val="18"/>
          <w:lang w:eastAsia="fr-RE"/>
        </w:rPr>
        <w:t>: les divergences de vues sont nombreuses et concernent tous les sujets</w:t>
      </w:r>
      <w:r w:rsidRPr="003F3F1C">
        <w:rPr>
          <w:rFonts w:ascii="Arial" w:eastAsia="Times New Roman" w:hAnsi="Arial" w:cs="Arial"/>
          <w:color w:val="333333"/>
          <w:szCs w:val="18"/>
          <w:lang w:eastAsia="fr-RE"/>
        </w:rPr>
        <w:t>.</w:t>
      </w:r>
    </w:p>
    <w:p w:rsidR="001125EC" w:rsidRPr="001125EC" w:rsidRDefault="001125EC" w:rsidP="001125E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Cs w:val="18"/>
          <w:lang w:eastAsia="fr-RE"/>
        </w:rPr>
      </w:pPr>
      <w:r w:rsidRPr="001125EC">
        <w:rPr>
          <w:rFonts w:ascii="Arial" w:eastAsia="Times New Roman" w:hAnsi="Arial" w:cs="Arial"/>
          <w:color w:val="333333"/>
          <w:szCs w:val="18"/>
          <w:lang w:eastAsia="fr-RE"/>
        </w:rPr>
        <w:t xml:space="preserve">Ainsi, les ambitions de l'Europe ne devraient pas être mondiales à en juger les positions prises par les responsables rencontrés à Rome, Berlin ou Londres. </w:t>
      </w:r>
      <w:r w:rsidRPr="001125EC">
        <w:rPr>
          <w:rFonts w:ascii="Arial" w:eastAsia="Times New Roman" w:hAnsi="Arial" w:cs="Arial"/>
          <w:b/>
          <w:color w:val="333333"/>
          <w:szCs w:val="18"/>
          <w:lang w:eastAsia="fr-RE"/>
        </w:rPr>
        <w:t>L'Union devrait se contenter d'un rôle secondairedans le maintien de la paix, les « choses sérieuses » étant assurées par l'OTAN</w:t>
      </w:r>
      <w:r w:rsidRPr="001125EC">
        <w:rPr>
          <w:rFonts w:ascii="Arial" w:eastAsia="Times New Roman" w:hAnsi="Arial" w:cs="Arial"/>
          <w:color w:val="333333"/>
          <w:szCs w:val="18"/>
          <w:lang w:eastAsia="fr-RE"/>
        </w:rPr>
        <w:t>.</w:t>
      </w:r>
      <w:r w:rsidRPr="003F3F1C">
        <w:rPr>
          <w:rFonts w:ascii="Arial" w:eastAsia="Times New Roman" w:hAnsi="Arial" w:cs="Arial"/>
          <w:color w:val="333333"/>
          <w:szCs w:val="18"/>
          <w:lang w:eastAsia="fr-RE"/>
        </w:rPr>
        <w:t> »</w:t>
      </w:r>
      <w:r w:rsidR="00CD7C01">
        <w:rPr>
          <w:rFonts w:ascii="Arial" w:eastAsia="Times New Roman" w:hAnsi="Arial" w:cs="Arial"/>
          <w:color w:val="333333"/>
          <w:szCs w:val="18"/>
          <w:lang w:eastAsia="fr-RE"/>
        </w:rPr>
        <w:t xml:space="preserve"> (S</w:t>
      </w:r>
      <w:r w:rsidR="003F3F1C">
        <w:rPr>
          <w:rFonts w:ascii="Arial" w:eastAsia="Times New Roman" w:hAnsi="Arial" w:cs="Arial"/>
          <w:color w:val="333333"/>
          <w:szCs w:val="18"/>
          <w:lang w:eastAsia="fr-RE"/>
        </w:rPr>
        <w:t>ource : La Documentation française, dossier spécial l’Europe de la Défense 1/12/2009)</w:t>
      </w:r>
    </w:p>
    <w:p w:rsidR="001125EC" w:rsidRDefault="001125EC" w:rsidP="00917B81">
      <w:pPr>
        <w:pStyle w:val="Paragraphedeliste"/>
      </w:pPr>
    </w:p>
    <w:p w:rsidR="00917B81" w:rsidRPr="00631BE4" w:rsidRDefault="00917B81" w:rsidP="00631BE4">
      <w:pPr>
        <w:rPr>
          <w:b/>
          <w:color w:val="FF0000"/>
          <w:sz w:val="28"/>
        </w:rPr>
      </w:pPr>
      <w:r w:rsidRPr="00631BE4">
        <w:rPr>
          <w:b/>
          <w:color w:val="FF0000"/>
          <w:sz w:val="28"/>
        </w:rPr>
        <w:t xml:space="preserve">Conclusion : </w:t>
      </w:r>
    </w:p>
    <w:p w:rsidR="00917B81" w:rsidRDefault="00CD7C01" w:rsidP="00631BE4">
      <w:pPr>
        <w:ind w:firstLine="708"/>
      </w:pPr>
      <w:r>
        <w:t>En</w:t>
      </w:r>
      <w:r w:rsidR="00917B81">
        <w:t xml:space="preserve"> 1992, dans un contexte de réorganisation </w:t>
      </w:r>
      <w:r>
        <w:t>géopolitique post-guerre froide, la CEE devient l’UE : elle souhaite émerger comme un pôle européen de stabilité politique et économique, s’appuyant et dépassant les Etats-nations.</w:t>
      </w:r>
      <w:r w:rsidR="00631BE4">
        <w:t xml:space="preserve"> </w:t>
      </w:r>
      <w:r w:rsidR="00917B81">
        <w:t xml:space="preserve">Le traité de Maastricht complété par celui d’Amsterdam, de Nice et de Lisbonne </w:t>
      </w:r>
      <w:proofErr w:type="gramStart"/>
      <w:r w:rsidR="00917B81">
        <w:t>marquent</w:t>
      </w:r>
      <w:proofErr w:type="gramEnd"/>
      <w:r w:rsidR="00917B81">
        <w:t xml:space="preserve"> une</w:t>
      </w:r>
      <w:r w:rsidR="00534BDB">
        <w:t xml:space="preserve"> réelle</w:t>
      </w:r>
      <w:r w:rsidR="00917B81">
        <w:t xml:space="preserve"> dynamique d’élargissement et d’</w:t>
      </w:r>
      <w:r w:rsidR="00631BE4">
        <w:t>approfondissement.</w:t>
      </w:r>
    </w:p>
    <w:p w:rsidR="00133752" w:rsidRDefault="00133752" w:rsidP="00631BE4">
      <w:r>
        <w:t>Mais il s’agit d’une gouvernance fragile reposant sur des négociations permanentes, une gouvernance complexe et perçue comme lointaine par une majorité de citoyens.</w:t>
      </w:r>
    </w:p>
    <w:p w:rsidR="00133752" w:rsidRDefault="00133752" w:rsidP="00631BE4">
      <w:r>
        <w:t>C’est pourquoi l’absence de</w:t>
      </w:r>
      <w:r w:rsidR="00447A79">
        <w:t xml:space="preserve"> « l’Europe-puissance » sur la scène internationale</w:t>
      </w:r>
      <w:r>
        <w:t xml:space="preserve"> apparaît très secondaire</w:t>
      </w:r>
      <w:r w:rsidR="006513B7">
        <w:t>. La priorité de l’</w:t>
      </w:r>
      <w:r>
        <w:t>UE aujourd’hui, c’est plutôt de trouver les moyens de susciter davantage l’adhésion</w:t>
      </w:r>
      <w:r w:rsidR="006513B7">
        <w:t xml:space="preserve"> des Européens !</w:t>
      </w:r>
    </w:p>
    <w:p w:rsidR="006513B7" w:rsidRDefault="00631BE4" w:rsidP="00631BE4">
      <w:r>
        <w:t xml:space="preserve"> </w:t>
      </w:r>
      <w:r w:rsidR="00970C49">
        <w:t>Faute de solution,</w:t>
      </w:r>
      <w:r w:rsidR="00AE14DC">
        <w:t xml:space="preserve"> une question se posera</w:t>
      </w:r>
      <w:r w:rsidR="00127278">
        <w:t xml:space="preserve"> avec une force croissante</w:t>
      </w:r>
      <w:r w:rsidR="006513B7">
        <w:t> :</w:t>
      </w:r>
      <w:r w:rsidR="00127278">
        <w:t xml:space="preserve"> comment</w:t>
      </w:r>
      <w:r w:rsidR="006513B7">
        <w:t xml:space="preserve"> l</w:t>
      </w:r>
      <w:r w:rsidR="00127278">
        <w:t>a dynamique communautaire peut</w:t>
      </w:r>
      <w:r w:rsidR="00133752">
        <w:t>-t-elle continuer</w:t>
      </w:r>
      <w:r w:rsidR="006513B7">
        <w:t xml:space="preserve"> sans les peuples ?</w:t>
      </w:r>
    </w:p>
    <w:p w:rsidR="00917B81" w:rsidRDefault="00917B81" w:rsidP="00917B81">
      <w:pPr>
        <w:pStyle w:val="Paragraphedeliste"/>
      </w:pPr>
    </w:p>
    <w:sectPr w:rsidR="00917B81" w:rsidSect="00B1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1B"/>
    <w:multiLevelType w:val="hybridMultilevel"/>
    <w:tmpl w:val="FFE23F9A"/>
    <w:lvl w:ilvl="0" w:tplc="200C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25957DCD"/>
    <w:multiLevelType w:val="hybridMultilevel"/>
    <w:tmpl w:val="6C50B9A6"/>
    <w:lvl w:ilvl="0" w:tplc="F9AE5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7DC"/>
    <w:multiLevelType w:val="hybridMultilevel"/>
    <w:tmpl w:val="8BE0B85E"/>
    <w:lvl w:ilvl="0" w:tplc="936406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7B1A"/>
    <w:multiLevelType w:val="hybridMultilevel"/>
    <w:tmpl w:val="CDE8EA96"/>
    <w:lvl w:ilvl="0" w:tplc="45122B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C2DC5"/>
    <w:multiLevelType w:val="hybridMultilevel"/>
    <w:tmpl w:val="0A96563A"/>
    <w:lvl w:ilvl="0" w:tplc="25A47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344"/>
    <w:rsid w:val="00023360"/>
    <w:rsid w:val="00074395"/>
    <w:rsid w:val="000E2C56"/>
    <w:rsid w:val="001125EC"/>
    <w:rsid w:val="00127278"/>
    <w:rsid w:val="00133752"/>
    <w:rsid w:val="00142C2B"/>
    <w:rsid w:val="001559F1"/>
    <w:rsid w:val="00191A0D"/>
    <w:rsid w:val="00194A7B"/>
    <w:rsid w:val="001C2648"/>
    <w:rsid w:val="001E1E6E"/>
    <w:rsid w:val="0025731A"/>
    <w:rsid w:val="002A2244"/>
    <w:rsid w:val="002C0524"/>
    <w:rsid w:val="00301965"/>
    <w:rsid w:val="0037403E"/>
    <w:rsid w:val="003A30BE"/>
    <w:rsid w:val="003D48D1"/>
    <w:rsid w:val="003E0EFA"/>
    <w:rsid w:val="003E13E4"/>
    <w:rsid w:val="003F3F1C"/>
    <w:rsid w:val="003F56BE"/>
    <w:rsid w:val="00412C47"/>
    <w:rsid w:val="00447A79"/>
    <w:rsid w:val="004B3EBD"/>
    <w:rsid w:val="00534BDB"/>
    <w:rsid w:val="005658F3"/>
    <w:rsid w:val="005B24F2"/>
    <w:rsid w:val="00616F16"/>
    <w:rsid w:val="00631BE4"/>
    <w:rsid w:val="006513B7"/>
    <w:rsid w:val="0066564A"/>
    <w:rsid w:val="006C4D63"/>
    <w:rsid w:val="006E0F59"/>
    <w:rsid w:val="006F4007"/>
    <w:rsid w:val="007867A3"/>
    <w:rsid w:val="007A5DA4"/>
    <w:rsid w:val="007D6B40"/>
    <w:rsid w:val="00881A10"/>
    <w:rsid w:val="008E0E2F"/>
    <w:rsid w:val="008E2563"/>
    <w:rsid w:val="008F1782"/>
    <w:rsid w:val="0091343F"/>
    <w:rsid w:val="00917B81"/>
    <w:rsid w:val="0094476C"/>
    <w:rsid w:val="00970C49"/>
    <w:rsid w:val="00983585"/>
    <w:rsid w:val="00997CEE"/>
    <w:rsid w:val="00A209C2"/>
    <w:rsid w:val="00A37AC0"/>
    <w:rsid w:val="00A538A7"/>
    <w:rsid w:val="00A548A5"/>
    <w:rsid w:val="00AE14DC"/>
    <w:rsid w:val="00B14EB0"/>
    <w:rsid w:val="00BC3064"/>
    <w:rsid w:val="00C4117A"/>
    <w:rsid w:val="00C56BA3"/>
    <w:rsid w:val="00C57362"/>
    <w:rsid w:val="00CB7E75"/>
    <w:rsid w:val="00CD06BB"/>
    <w:rsid w:val="00CD4344"/>
    <w:rsid w:val="00CD4525"/>
    <w:rsid w:val="00CD7C01"/>
    <w:rsid w:val="00CE30B3"/>
    <w:rsid w:val="00CF5EA0"/>
    <w:rsid w:val="00D543F4"/>
    <w:rsid w:val="00D57926"/>
    <w:rsid w:val="00DC02C7"/>
    <w:rsid w:val="00DD654B"/>
    <w:rsid w:val="00DE5A2C"/>
    <w:rsid w:val="00E47666"/>
    <w:rsid w:val="00EA3138"/>
    <w:rsid w:val="00EC4431"/>
    <w:rsid w:val="00EF04B9"/>
    <w:rsid w:val="00F0750C"/>
    <w:rsid w:val="00F33BB9"/>
    <w:rsid w:val="00F9338C"/>
    <w:rsid w:val="00F94655"/>
    <w:rsid w:val="00FA1BBE"/>
    <w:rsid w:val="00FC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E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EB0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F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bac-1-2</cp:lastModifiedBy>
  <cp:revision>38</cp:revision>
  <cp:lastPrinted>2017-06-09T07:33:00Z</cp:lastPrinted>
  <dcterms:created xsi:type="dcterms:W3CDTF">2017-05-13T07:36:00Z</dcterms:created>
  <dcterms:modified xsi:type="dcterms:W3CDTF">2017-06-09T07:33:00Z</dcterms:modified>
</cp:coreProperties>
</file>